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44"/>
          <w:szCs w:val="52"/>
        </w:rPr>
      </w:pPr>
      <w:bookmarkStart w:id="0" w:name="_GoBack"/>
      <w:bookmarkEnd w:id="0"/>
    </w:p>
    <w:p>
      <w:pPr>
        <w:jc w:val="center"/>
        <w:rPr>
          <w:rFonts w:ascii="Times New Roman" w:hAnsi="Times New Roman" w:cs="Times New Roman"/>
          <w:b/>
          <w:bCs/>
          <w:sz w:val="44"/>
          <w:szCs w:val="52"/>
        </w:rPr>
      </w:pPr>
      <w:r>
        <w:rPr>
          <w:rFonts w:ascii="Times New Roman" w:hAnsi="Times New Roman" w:cs="Times New Roman"/>
          <w:b/>
          <w:bCs/>
          <w:sz w:val="44"/>
          <w:szCs w:val="52"/>
        </w:rPr>
        <w:t>宿迁市地方标准</w:t>
      </w:r>
    </w:p>
    <w:p>
      <w:pPr>
        <w:jc w:val="center"/>
        <w:rPr>
          <w:rFonts w:ascii="Times New Roman" w:hAnsi="Times New Roman" w:cs="Times New Roman"/>
          <w:b/>
          <w:bCs/>
          <w:sz w:val="44"/>
          <w:szCs w:val="52"/>
        </w:rPr>
      </w:pPr>
      <w:r>
        <w:rPr>
          <w:rFonts w:ascii="Times New Roman" w:hAnsi="Times New Roman" w:cs="Times New Roman"/>
          <w:b/>
          <w:bCs/>
          <w:sz w:val="44"/>
          <w:szCs w:val="52"/>
        </w:rPr>
        <w:t>《</w:t>
      </w:r>
      <w:r>
        <w:rPr>
          <w:rFonts w:hint="eastAsia" w:ascii="Times New Roman" w:hAnsi="Times New Roman" w:cs="Times New Roman"/>
          <w:b/>
          <w:bCs/>
          <w:sz w:val="44"/>
          <w:szCs w:val="52"/>
        </w:rPr>
        <w:t>大水面生态养殖鲢鳙起捕</w:t>
      </w:r>
      <w:r>
        <w:rPr>
          <w:rFonts w:ascii="Times New Roman" w:hAnsi="Times New Roman" w:cs="Times New Roman"/>
          <w:b/>
          <w:bCs/>
          <w:sz w:val="44"/>
          <w:szCs w:val="52"/>
        </w:rPr>
        <w:t>管理规范》</w:t>
      </w:r>
    </w:p>
    <w:p>
      <w:pPr>
        <w:jc w:val="center"/>
        <w:rPr>
          <w:rFonts w:ascii="Times New Roman" w:hAnsi="Times New Roman" w:eastAsia="楷体" w:cs="Times New Roman"/>
          <w:sz w:val="36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52"/>
        </w:rPr>
        <w:t>编制说明</w:t>
      </w:r>
    </w:p>
    <w:p>
      <w:pPr>
        <w:ind w:firstLine="640" w:firstLineChars="200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一、工作简况</w:t>
      </w:r>
    </w:p>
    <w:p>
      <w:pPr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40"/>
        </w:rPr>
        <w:t xml:space="preserve"> 编制宿迁市地方标准《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大水面生态养殖鲢鳙起捕</w:t>
      </w:r>
      <w:r>
        <w:rPr>
          <w:rFonts w:ascii="Times New Roman" w:hAnsi="Times New Roman" w:eastAsia="仿宋_GB2312" w:cs="Times New Roman"/>
          <w:sz w:val="32"/>
          <w:szCs w:val="40"/>
        </w:rPr>
        <w:t>管理规范》，旨在统一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宿迁市内陆湖泊、水库人工生态养殖的鲢鳙起捕</w:t>
      </w:r>
      <w:r>
        <w:rPr>
          <w:rFonts w:ascii="Times New Roman" w:hAnsi="Times New Roman" w:eastAsia="仿宋_GB2312" w:cs="Times New Roman"/>
          <w:sz w:val="32"/>
          <w:szCs w:val="40"/>
        </w:rPr>
        <w:t>管理技术标准，指导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起捕</w:t>
      </w:r>
      <w:r>
        <w:rPr>
          <w:rFonts w:ascii="Times New Roman" w:hAnsi="Times New Roman" w:eastAsia="仿宋_GB2312" w:cs="Times New Roman"/>
          <w:sz w:val="32"/>
          <w:szCs w:val="40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事前准备</w:t>
      </w:r>
      <w:r>
        <w:rPr>
          <w:rFonts w:ascii="Times New Roman" w:hAnsi="Times New Roman" w:eastAsia="仿宋_GB2312" w:cs="Times New Roman"/>
          <w:sz w:val="32"/>
          <w:szCs w:val="40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现场作业</w:t>
      </w:r>
      <w:r>
        <w:rPr>
          <w:rFonts w:ascii="Times New Roman" w:hAnsi="Times New Roman" w:eastAsia="仿宋_GB2312" w:cs="Times New Roman"/>
          <w:sz w:val="32"/>
          <w:szCs w:val="40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上岸管理、产品质量管理、记录和评估等管理要点</w:t>
      </w:r>
      <w:r>
        <w:rPr>
          <w:rFonts w:ascii="Times New Roman" w:hAnsi="Times New Roman" w:eastAsia="仿宋_GB2312" w:cs="Times New Roman"/>
          <w:sz w:val="32"/>
          <w:szCs w:val="40"/>
        </w:rPr>
        <w:t>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1.任务来源：本标准任务来源于宿迁市标准化战略推进委员会办公室下达的《关于组织申报202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3</w:t>
      </w:r>
      <w:r>
        <w:rPr>
          <w:rFonts w:ascii="Times New Roman" w:hAnsi="Times New Roman" w:eastAsia="仿宋_GB2312" w:cs="Times New Roman"/>
          <w:sz w:val="32"/>
          <w:szCs w:val="40"/>
        </w:rPr>
        <w:t>年度宿迁市地方标准项目的通知》宿标推办发〔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2023</w:t>
      </w:r>
      <w:r>
        <w:rPr>
          <w:rFonts w:ascii="Times New Roman" w:hAnsi="Times New Roman" w:eastAsia="仿宋_GB2312" w:cs="Times New Roman"/>
          <w:sz w:val="32"/>
          <w:szCs w:val="40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1</w:t>
      </w:r>
      <w:r>
        <w:rPr>
          <w:rFonts w:ascii="Times New Roman" w:hAnsi="Times New Roman" w:eastAsia="仿宋_GB2312" w:cs="Times New Roman"/>
          <w:sz w:val="32"/>
          <w:szCs w:val="40"/>
        </w:rPr>
        <w:t>号。本标准由江苏省骆马湖渔业管理委员会办公室（以下简称“省骆马湖渔管办”）提出。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2.主要参加起草的单位：省骆马湖渔管办。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3.主要参加人情况表。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417"/>
        <w:gridCol w:w="1566"/>
        <w:gridCol w:w="2375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86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  <w:t>性别</w:t>
            </w:r>
          </w:p>
        </w:tc>
        <w:tc>
          <w:tcPr>
            <w:tcW w:w="1566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  <w:t>职务/职称</w:t>
            </w:r>
          </w:p>
        </w:tc>
        <w:tc>
          <w:tcPr>
            <w:tcW w:w="237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  <w:t>工作单位</w:t>
            </w:r>
          </w:p>
        </w:tc>
        <w:tc>
          <w:tcPr>
            <w:tcW w:w="165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36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穆新武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男</w:t>
            </w:r>
          </w:p>
        </w:tc>
        <w:tc>
          <w:tcPr>
            <w:tcW w:w="156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工程师</w:t>
            </w:r>
          </w:p>
        </w:tc>
        <w:tc>
          <w:tcPr>
            <w:tcW w:w="23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省骆马湖渔管办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标准起草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江伟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男</w:t>
            </w:r>
          </w:p>
        </w:tc>
        <w:tc>
          <w:tcPr>
            <w:tcW w:w="156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技师</w:t>
            </w:r>
          </w:p>
        </w:tc>
        <w:tc>
          <w:tcPr>
            <w:tcW w:w="23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省骆马湖渔管办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资料收集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蔡云海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男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主任</w:t>
            </w:r>
          </w:p>
        </w:tc>
        <w:tc>
          <w:tcPr>
            <w:tcW w:w="237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省骆马湖渔管办</w:t>
            </w:r>
          </w:p>
        </w:tc>
        <w:tc>
          <w:tcPr>
            <w:tcW w:w="165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项目管理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高军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男</w:t>
            </w:r>
          </w:p>
        </w:tc>
        <w:tc>
          <w:tcPr>
            <w:tcW w:w="156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副主任</w:t>
            </w:r>
          </w:p>
        </w:tc>
        <w:tc>
          <w:tcPr>
            <w:tcW w:w="23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省骆马湖渔管办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项目管理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张伟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男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处长</w:t>
            </w:r>
          </w:p>
        </w:tc>
        <w:tc>
          <w:tcPr>
            <w:tcW w:w="237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省骆马湖渔管办</w:t>
            </w:r>
          </w:p>
        </w:tc>
        <w:tc>
          <w:tcPr>
            <w:tcW w:w="165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</w:rPr>
              <w:t>项目协调</w:t>
            </w:r>
          </w:p>
        </w:tc>
      </w:tr>
    </w:tbl>
    <w:p>
      <w:pPr>
        <w:ind w:firstLine="640" w:firstLineChars="200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二、制定标准的必要性和意义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大水面生态渔业是我国淡水渔业的重要组成部分，在实施乡村振兴战略、维护水域和谐共生、保障优质水产品供给、推动产业融合发展等方面发挥着十分重要的作用。为认真贯彻习近平总书记关于树立大食物观的重要指示，践行“绿水青山就是金山银山”的绿色发展理念，落实2023年中央一号文件、农业农村部一号文件关于“大水面生态渔业”的精神，亟需建立一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系列大水面生态渔业建设管理标准</w:t>
      </w:r>
      <w:r>
        <w:rPr>
          <w:rFonts w:ascii="Times New Roman" w:hAnsi="Times New Roman" w:eastAsia="仿宋_GB2312" w:cs="Times New Roman"/>
          <w:sz w:val="32"/>
          <w:szCs w:val="40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规范生态</w:t>
      </w:r>
      <w:r>
        <w:rPr>
          <w:rFonts w:ascii="Times New Roman" w:hAnsi="Times New Roman" w:eastAsia="仿宋_GB2312" w:cs="Times New Roman"/>
          <w:sz w:val="32"/>
          <w:szCs w:val="40"/>
        </w:rPr>
        <w:t>渔业资源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的</w:t>
      </w:r>
      <w:r>
        <w:rPr>
          <w:rFonts w:ascii="Times New Roman" w:hAnsi="Times New Roman" w:eastAsia="仿宋_GB2312" w:cs="Times New Roman"/>
          <w:sz w:val="32"/>
          <w:szCs w:val="40"/>
        </w:rPr>
        <w:t>合理利用，促进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大水面渔业产业</w:t>
      </w:r>
      <w:r>
        <w:rPr>
          <w:rFonts w:ascii="Times New Roman" w:hAnsi="Times New Roman" w:eastAsia="仿宋_GB2312" w:cs="Times New Roman"/>
          <w:sz w:val="32"/>
          <w:szCs w:val="40"/>
        </w:rPr>
        <w:t>协调发展。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宿迁市依水而兴、因水而美，“怀抱”洪泽湖、骆马湖，“坐拥”京杭大运河和古黄河，是全国唯一具有“两湖两河”地理标识的地级市，水域面积占全市面积的四分之一，大水面渔业资源丰富、发展潜力巨大。</w:t>
      </w:r>
      <w:r>
        <w:rPr>
          <w:rFonts w:ascii="Times New Roman" w:hAnsi="Times New Roman" w:eastAsia="仿宋_GB2312" w:cs="Times New Roman"/>
          <w:sz w:val="32"/>
          <w:szCs w:val="40"/>
        </w:rPr>
        <w:t>近年来，省骆马湖渔管办立足管理实际，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通过系列举措</w:t>
      </w:r>
      <w:r>
        <w:rPr>
          <w:rFonts w:ascii="Times New Roman" w:hAnsi="Times New Roman" w:eastAsia="仿宋_GB2312" w:cs="Times New Roman"/>
          <w:sz w:val="32"/>
          <w:szCs w:val="40"/>
        </w:rPr>
        <w:t>在骆马湖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宿迁</w:t>
      </w:r>
      <w:r>
        <w:rPr>
          <w:rFonts w:ascii="Times New Roman" w:hAnsi="Times New Roman" w:eastAsia="仿宋_GB2312" w:cs="Times New Roman"/>
          <w:sz w:val="32"/>
          <w:szCs w:val="40"/>
        </w:rPr>
        <w:t>水域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完成了大水面生态渔业养殖</w:t>
      </w:r>
      <w:r>
        <w:rPr>
          <w:rFonts w:ascii="Times New Roman" w:hAnsi="Times New Roman" w:eastAsia="仿宋_GB2312" w:cs="Times New Roman"/>
          <w:sz w:val="32"/>
          <w:szCs w:val="40"/>
        </w:rPr>
        <w:t>管理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的转型升级</w:t>
      </w:r>
      <w:r>
        <w:rPr>
          <w:rFonts w:ascii="Times New Roman" w:hAnsi="Times New Roman" w:eastAsia="仿宋_GB2312" w:cs="Times New Roman"/>
          <w:sz w:val="32"/>
          <w:szCs w:val="40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目前，</w:t>
      </w:r>
      <w:r>
        <w:rPr>
          <w:rFonts w:ascii="Times New Roman" w:hAnsi="Times New Roman" w:eastAsia="仿宋_GB2312" w:cs="Times New Roman"/>
          <w:sz w:val="32"/>
          <w:szCs w:val="40"/>
        </w:rPr>
        <w:t>全湖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着力</w:t>
      </w:r>
      <w:r>
        <w:rPr>
          <w:rFonts w:ascii="Times New Roman" w:hAnsi="Times New Roman" w:eastAsia="仿宋_GB2312" w:cs="Times New Roman"/>
          <w:sz w:val="32"/>
          <w:szCs w:val="40"/>
        </w:rPr>
        <w:t>打造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的高标准</w:t>
      </w:r>
      <w:r>
        <w:rPr>
          <w:rFonts w:ascii="Times New Roman" w:hAnsi="Times New Roman" w:eastAsia="仿宋_GB2312" w:cs="Times New Roman"/>
          <w:sz w:val="32"/>
          <w:szCs w:val="40"/>
        </w:rPr>
        <w:t>净水网箱区56.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6</w:t>
      </w:r>
      <w:r>
        <w:rPr>
          <w:rFonts w:ascii="Times New Roman" w:hAnsi="Times New Roman" w:eastAsia="仿宋_GB2312" w:cs="Times New Roman"/>
          <w:sz w:val="32"/>
          <w:szCs w:val="40"/>
        </w:rPr>
        <w:t>万平方，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生态网围养殖区1.38万亩，全部放养号称“水中清道夫”的鲢鳙，生长过程不投饵、不用药，</w:t>
      </w:r>
      <w:r>
        <w:rPr>
          <w:rFonts w:ascii="Times New Roman" w:hAnsi="Times New Roman" w:eastAsia="仿宋_GB2312" w:cs="Times New Roman"/>
          <w:sz w:val="32"/>
          <w:szCs w:val="40"/>
        </w:rPr>
        <w:t>每年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可</w:t>
      </w:r>
      <w:r>
        <w:rPr>
          <w:rFonts w:ascii="Times New Roman" w:hAnsi="Times New Roman" w:eastAsia="仿宋_GB2312" w:cs="Times New Roman"/>
          <w:sz w:val="32"/>
          <w:szCs w:val="40"/>
        </w:rPr>
        <w:t>为广大市民提供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8</w:t>
      </w:r>
      <w:r>
        <w:rPr>
          <w:rFonts w:ascii="Times New Roman" w:hAnsi="Times New Roman" w:eastAsia="仿宋_GB2312" w:cs="Times New Roman"/>
          <w:sz w:val="32"/>
          <w:szCs w:val="40"/>
        </w:rPr>
        <w:t>000余吨绿色、安全、生态的高质量动物蛋白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。已经同步实现了</w:t>
      </w:r>
      <w:r>
        <w:rPr>
          <w:rFonts w:ascii="Times New Roman" w:hAnsi="Times New Roman" w:eastAsia="仿宋_GB2312" w:cs="Times New Roman"/>
          <w:sz w:val="32"/>
          <w:szCs w:val="40"/>
        </w:rPr>
        <w:t>退捕渔民增产增收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、</w:t>
      </w:r>
      <w:r>
        <w:rPr>
          <w:rFonts w:ascii="Times New Roman" w:hAnsi="Times New Roman" w:eastAsia="仿宋_GB2312" w:cs="Times New Roman"/>
          <w:sz w:val="32"/>
          <w:szCs w:val="40"/>
        </w:rPr>
        <w:t>固化氮磷降低水体富营养化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、落实水产品稳产保供等多重</w:t>
      </w:r>
      <w:r>
        <w:rPr>
          <w:rFonts w:ascii="Times New Roman" w:hAnsi="Times New Roman" w:eastAsia="仿宋_GB2312" w:cs="Times New Roman"/>
          <w:sz w:val="32"/>
          <w:szCs w:val="40"/>
        </w:rPr>
        <w:t>效益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，</w:t>
      </w:r>
      <w:r>
        <w:rPr>
          <w:rFonts w:ascii="Times New Roman" w:hAnsi="Times New Roman" w:eastAsia="仿宋_GB2312" w:cs="Times New Roman"/>
          <w:sz w:val="32"/>
          <w:szCs w:val="40"/>
        </w:rPr>
        <w:t>有效践行了“大食物观”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和</w:t>
      </w:r>
      <w:r>
        <w:rPr>
          <w:rFonts w:ascii="Times New Roman" w:hAnsi="Times New Roman" w:eastAsia="仿宋_GB2312" w:cs="Times New Roman"/>
          <w:sz w:val="32"/>
          <w:szCs w:val="40"/>
        </w:rPr>
        <w:t>大水面生态渔业发展的新要求。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面对当前的新形势和新要求，省骆马湖渔管办以此为契机，依据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前期试点</w:t>
      </w:r>
      <w:r>
        <w:rPr>
          <w:rFonts w:ascii="Times New Roman" w:hAnsi="Times New Roman" w:eastAsia="仿宋_GB2312" w:cs="Times New Roman"/>
          <w:sz w:val="32"/>
          <w:szCs w:val="40"/>
        </w:rPr>
        <w:t>经验制定该规范，从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生态养殖的鲢鳙起</w:t>
      </w:r>
      <w:r>
        <w:rPr>
          <w:rFonts w:ascii="Times New Roman" w:hAnsi="Times New Roman" w:eastAsia="仿宋_GB2312" w:cs="Times New Roman"/>
          <w:sz w:val="32"/>
          <w:szCs w:val="40"/>
        </w:rPr>
        <w:t>捕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管理</w:t>
      </w:r>
      <w:r>
        <w:rPr>
          <w:rFonts w:ascii="Times New Roman" w:hAnsi="Times New Roman" w:eastAsia="仿宋_GB2312" w:cs="Times New Roman"/>
          <w:sz w:val="32"/>
          <w:szCs w:val="40"/>
        </w:rPr>
        <w:t>入手，旨在提高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大水面渔业生产管理效率，促进人与自然和谐共生</w:t>
      </w:r>
      <w:r>
        <w:rPr>
          <w:rFonts w:ascii="Times New Roman" w:hAnsi="Times New Roman" w:eastAsia="仿宋_GB2312" w:cs="Times New Roman"/>
          <w:sz w:val="32"/>
          <w:szCs w:val="40"/>
        </w:rPr>
        <w:t>，以期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为宿迁市大水面生态</w:t>
      </w:r>
      <w:r>
        <w:rPr>
          <w:rFonts w:ascii="Times New Roman" w:hAnsi="Times New Roman" w:eastAsia="仿宋_GB2312" w:cs="Times New Roman"/>
          <w:sz w:val="32"/>
          <w:szCs w:val="40"/>
        </w:rPr>
        <w:t>渔业高质量发展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提供可复制可推广的经验</w:t>
      </w:r>
      <w:r>
        <w:rPr>
          <w:rFonts w:ascii="Times New Roman" w:hAnsi="Times New Roman" w:eastAsia="仿宋_GB2312" w:cs="Times New Roman"/>
          <w:sz w:val="32"/>
          <w:szCs w:val="40"/>
        </w:rPr>
        <w:t>。</w:t>
      </w:r>
    </w:p>
    <w:p>
      <w:pPr>
        <w:ind w:left="420" w:leftChars="200" w:firstLine="320" w:firstLineChars="100"/>
        <w:jc w:val="left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三、主要起草过程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该</w:t>
      </w:r>
      <w:r>
        <w:rPr>
          <w:rFonts w:ascii="Times New Roman" w:hAnsi="Times New Roman" w:eastAsia="仿宋_GB2312" w:cs="Times New Roman"/>
          <w:sz w:val="32"/>
          <w:szCs w:val="40"/>
        </w:rPr>
        <w:t>规范是以本单位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近年来</w:t>
      </w:r>
      <w:r>
        <w:rPr>
          <w:rFonts w:ascii="Times New Roman" w:hAnsi="Times New Roman" w:eastAsia="仿宋_GB2312" w:cs="Times New Roman"/>
          <w:sz w:val="32"/>
          <w:szCs w:val="40"/>
        </w:rPr>
        <w:t>实际管理经验为基础，结合已有的相关研究成果，进行必要的补充研究整理，参照我国现行的相关标准，提出适用于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大水面生态养殖鲢鳙起捕</w:t>
      </w:r>
      <w:r>
        <w:rPr>
          <w:rFonts w:ascii="Times New Roman" w:hAnsi="Times New Roman" w:eastAsia="仿宋_GB2312" w:cs="Times New Roman"/>
          <w:sz w:val="32"/>
          <w:szCs w:val="40"/>
        </w:rPr>
        <w:t>的管理标准，并验证其合理性。在标准的编制过程中，首先成立标准编制组，拟定详细的编写工作计划，明确责任分工，有序推进标准编写工作。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通过</w:t>
      </w:r>
      <w:r>
        <w:rPr>
          <w:rFonts w:ascii="Times New Roman" w:hAnsi="Times New Roman" w:eastAsia="仿宋_GB2312" w:cs="Times New Roman"/>
          <w:sz w:val="32"/>
          <w:szCs w:val="40"/>
        </w:rPr>
        <w:t>广泛的调查研究和专题论证，总结了近年来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江苏省内外大水面渔业资源起捕的</w:t>
      </w:r>
      <w:r>
        <w:rPr>
          <w:rFonts w:ascii="Times New Roman" w:hAnsi="Times New Roman" w:eastAsia="仿宋_GB2312" w:cs="Times New Roman"/>
          <w:sz w:val="32"/>
          <w:szCs w:val="40"/>
        </w:rPr>
        <w:t>科研成果和管理经验，广泛的征求了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中科院水生生物研究所、江苏省洪泽湖渔业管理委员会办公室、江苏省淡水水产研究所、江苏省海洋与水产研究所、宿迁市农业农业局、宿迁市农科院、宿迁市产品质量监督检验所、江苏省渔业协会大水面分会等</w:t>
      </w:r>
      <w:r>
        <w:rPr>
          <w:rFonts w:ascii="Times New Roman" w:hAnsi="Times New Roman" w:eastAsia="仿宋_GB2312" w:cs="Times New Roman"/>
          <w:sz w:val="32"/>
          <w:szCs w:val="40"/>
        </w:rPr>
        <w:t>有关单位和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专家</w:t>
      </w:r>
      <w:r>
        <w:rPr>
          <w:rFonts w:ascii="Times New Roman" w:hAnsi="Times New Roman" w:eastAsia="仿宋_GB2312" w:cs="Times New Roman"/>
          <w:sz w:val="32"/>
          <w:szCs w:val="40"/>
        </w:rPr>
        <w:t>的意见，对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规范</w:t>
      </w:r>
      <w:r>
        <w:rPr>
          <w:rFonts w:ascii="Times New Roman" w:hAnsi="Times New Roman" w:eastAsia="仿宋_GB2312" w:cs="Times New Roman"/>
          <w:sz w:val="32"/>
          <w:szCs w:val="40"/>
        </w:rPr>
        <w:t>的内容进行反复讨论、修改和补充，最后提出本送审稿。</w:t>
      </w:r>
    </w:p>
    <w:p>
      <w:pPr>
        <w:numPr>
          <w:ilvl w:val="0"/>
          <w:numId w:val="2"/>
        </w:numPr>
        <w:ind w:firstLine="640" w:firstLineChars="200"/>
        <w:jc w:val="left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制定标准的原则和依据，与现行法律、法规、标准的关系。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本标准制定过程中参考了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GB/T 22213《水产养殖术语》、GB/T 36192《活水产品运输技术规范》、GB/T 42478《农产品生产档案记载规范》、NY 5051《无公害食品 淡水养殖用水水质》、SC/T 1149 《大水面增养殖容量计算方法》、SC/T 3043 《养殖水产品可追溯标签规程》、SC/T 4001 《渔具基本术语》、SC/T 6030《渔业船舶用设备 技术要求和试验方法》等，</w:t>
      </w:r>
      <w:r>
        <w:rPr>
          <w:rFonts w:ascii="Times New Roman" w:hAnsi="Times New Roman" w:eastAsia="仿宋_GB2312" w:cs="Times New Roman"/>
          <w:sz w:val="32"/>
          <w:szCs w:val="40"/>
        </w:rPr>
        <w:t>本标准符合现行法律、法规、标准的要求。</w:t>
      </w:r>
    </w:p>
    <w:p>
      <w:pPr>
        <w:ind w:left="420" w:leftChars="200" w:firstLine="320" w:firstLineChars="100"/>
        <w:jc w:val="left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五、主要条款的说明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1、</w:t>
      </w:r>
      <w:r>
        <w:rPr>
          <w:rFonts w:ascii="Times New Roman" w:hAnsi="Times New Roman" w:eastAsia="仿宋_GB2312" w:cs="Times New Roman"/>
          <w:sz w:val="32"/>
          <w:szCs w:val="40"/>
        </w:rPr>
        <w:t>范围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2、</w:t>
      </w:r>
      <w:r>
        <w:rPr>
          <w:rFonts w:ascii="Times New Roman" w:hAnsi="Times New Roman" w:eastAsia="仿宋_GB2312" w:cs="Times New Roman"/>
          <w:sz w:val="32"/>
          <w:szCs w:val="40"/>
        </w:rPr>
        <w:t>规范性引用文件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3、</w:t>
      </w:r>
      <w:r>
        <w:rPr>
          <w:rFonts w:ascii="Times New Roman" w:hAnsi="Times New Roman" w:eastAsia="仿宋_GB2312" w:cs="Times New Roman"/>
          <w:sz w:val="32"/>
          <w:szCs w:val="40"/>
        </w:rPr>
        <w:t>术语和定义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4、事前准备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5、现场作业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6、上岸管理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7、产品质量管理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Times New Roman" w:hAnsi="Times New Roman" w:eastAsia="仿宋_GB2312" w:cs="Times New Roman"/>
          <w:sz w:val="32"/>
          <w:szCs w:val="40"/>
        </w:rPr>
        <w:t>8、记录和评估</w:t>
      </w:r>
    </w:p>
    <w:p>
      <w:pPr>
        <w:ind w:left="420" w:leftChars="200" w:firstLine="320" w:firstLineChars="100"/>
        <w:jc w:val="left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sz w:val="32"/>
          <w:szCs w:val="40"/>
        </w:rPr>
        <w:t>六、重大意见分歧的处理依据和结果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在本标准起草和编制过程中，征求了相关专家意见，提出了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20</w:t>
      </w:r>
      <w:r>
        <w:rPr>
          <w:rFonts w:ascii="Times New Roman" w:hAnsi="Times New Roman" w:eastAsia="仿宋_GB2312" w:cs="Times New Roman"/>
          <w:sz w:val="32"/>
          <w:szCs w:val="40"/>
        </w:rPr>
        <w:t>条修改意见，全部采纳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20</w:t>
      </w:r>
      <w:r>
        <w:rPr>
          <w:rFonts w:ascii="Times New Roman" w:hAnsi="Times New Roman" w:eastAsia="仿宋_GB2312" w:cs="Times New Roman"/>
          <w:sz w:val="32"/>
          <w:szCs w:val="40"/>
        </w:rPr>
        <w:t>条。</w:t>
      </w:r>
    </w:p>
    <w:p>
      <w:pPr>
        <w:ind w:firstLine="643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黑体" w:cs="Times New Roman"/>
          <w:b/>
          <w:bCs/>
          <w:sz w:val="32"/>
          <w:szCs w:val="40"/>
        </w:rPr>
        <w:t>七、</w:t>
      </w:r>
      <w:r>
        <w:rPr>
          <w:rFonts w:ascii="Times New Roman" w:hAnsi="Times New Roman" w:eastAsia="仿宋_GB2312" w:cs="Times New Roman"/>
          <w:sz w:val="32"/>
          <w:szCs w:val="40"/>
        </w:rPr>
        <w:t>建议《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大水面生态养殖鲢鳙起捕</w:t>
      </w:r>
      <w:r>
        <w:rPr>
          <w:rFonts w:ascii="Times New Roman" w:hAnsi="Times New Roman" w:eastAsia="仿宋_GB2312" w:cs="Times New Roman"/>
          <w:sz w:val="32"/>
          <w:szCs w:val="40"/>
        </w:rPr>
        <w:t>管理规范》编写标准作为推荐性标准发布实施。</w:t>
      </w:r>
    </w:p>
    <w:p>
      <w:pPr>
        <w:ind w:left="420" w:leftChars="200" w:firstLine="321" w:firstLineChars="100"/>
        <w:jc w:val="left"/>
        <w:rPr>
          <w:rFonts w:ascii="Times New Roman" w:hAnsi="Times New Roman" w:eastAsia="黑体" w:cs="Times New Roman"/>
          <w:sz w:val="32"/>
          <w:szCs w:val="40"/>
        </w:rPr>
      </w:pPr>
      <w:r>
        <w:rPr>
          <w:rFonts w:ascii="Times New Roman" w:hAnsi="Times New Roman" w:eastAsia="黑体" w:cs="Times New Roman"/>
          <w:b/>
          <w:bCs/>
          <w:sz w:val="32"/>
          <w:szCs w:val="40"/>
        </w:rPr>
        <w:t>八、</w:t>
      </w:r>
      <w:r>
        <w:rPr>
          <w:rFonts w:ascii="Times New Roman" w:hAnsi="Times New Roman" w:eastAsia="黑体" w:cs="Times New Roman"/>
          <w:sz w:val="32"/>
          <w:szCs w:val="40"/>
        </w:rPr>
        <w:t>贯彻标准的措施建议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ascii="Times New Roman" w:hAnsi="Times New Roman" w:eastAsia="仿宋_GB2312" w:cs="Times New Roman"/>
          <w:sz w:val="32"/>
          <w:szCs w:val="40"/>
        </w:rPr>
        <w:t>为使标准更好地发挥指导作用，提高宿迁市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大水面生态养殖鲢鳙起捕</w:t>
      </w:r>
      <w:r>
        <w:rPr>
          <w:rFonts w:ascii="Times New Roman" w:hAnsi="Times New Roman" w:eastAsia="仿宋_GB2312" w:cs="Times New Roman"/>
          <w:sz w:val="32"/>
          <w:szCs w:val="40"/>
        </w:rPr>
        <w:t>的管理水平，建议做好宣传培训，使地方从事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渔业资源增殖与回捕</w:t>
      </w:r>
      <w:r>
        <w:rPr>
          <w:rFonts w:ascii="Times New Roman" w:hAnsi="Times New Roman" w:eastAsia="仿宋_GB2312" w:cs="Times New Roman"/>
          <w:sz w:val="32"/>
          <w:szCs w:val="40"/>
        </w:rPr>
        <w:t>管理等工作的单位和个人掌握标准的各项技术要求，使标准的应用真正落到实处，同时对《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大水面生态养殖鲢鳙起捕</w:t>
      </w:r>
      <w:r>
        <w:rPr>
          <w:rFonts w:ascii="Times New Roman" w:hAnsi="Times New Roman" w:eastAsia="仿宋_GB2312" w:cs="Times New Roman"/>
          <w:sz w:val="32"/>
          <w:szCs w:val="40"/>
        </w:rPr>
        <w:t>管理规范》地方标准执行情况进行跟踪调查，及时发现标准中存在的问题，不断修订完善。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40"/>
        </w:rPr>
      </w:pPr>
    </w:p>
    <w:p>
      <w:pPr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《</w:t>
      </w:r>
      <w:r>
        <w:rPr>
          <w:rFonts w:hint="eastAsia" w:ascii="仿宋" w:hAnsi="仿宋" w:eastAsia="仿宋" w:cs="Times New Roman"/>
          <w:sz w:val="32"/>
          <w:szCs w:val="32"/>
        </w:rPr>
        <w:t>大水面生态养殖鲢鳙起捕</w:t>
      </w:r>
      <w:r>
        <w:rPr>
          <w:rFonts w:ascii="仿宋" w:hAnsi="仿宋" w:eastAsia="仿宋" w:cs="Times New Roman"/>
          <w:sz w:val="32"/>
          <w:szCs w:val="32"/>
        </w:rPr>
        <w:t>管理规范》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标准编制工作</w:t>
      </w:r>
      <w:r>
        <w:rPr>
          <w:rFonts w:hint="eastAsia" w:ascii="仿宋" w:hAnsi="仿宋" w:eastAsia="仿宋" w:cs="Times New Roman"/>
          <w:sz w:val="32"/>
          <w:szCs w:val="32"/>
        </w:rPr>
        <w:t>组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1"/>
      <w:suff w:val="nothing"/>
      <w:lvlText w:val="%1　"/>
      <w:lvlJc w:val="left"/>
      <w:pPr>
        <w:ind w:left="6237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FBA8BA9"/>
    <w:multiLevelType w:val="singleLevel"/>
    <w:tmpl w:val="5FBA8B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Yzg2M2Y4MzlhYTBjN2IwMWMwZThkYTkwNzMxNjEifQ=="/>
  </w:docVars>
  <w:rsids>
    <w:rsidRoot w:val="00F878B4"/>
    <w:rsid w:val="002B1065"/>
    <w:rsid w:val="003B0BF2"/>
    <w:rsid w:val="006B66E9"/>
    <w:rsid w:val="007270AD"/>
    <w:rsid w:val="00F176EE"/>
    <w:rsid w:val="00F878B4"/>
    <w:rsid w:val="030D0C4F"/>
    <w:rsid w:val="033A2801"/>
    <w:rsid w:val="04E43D69"/>
    <w:rsid w:val="05771031"/>
    <w:rsid w:val="109241D2"/>
    <w:rsid w:val="122E3404"/>
    <w:rsid w:val="12931B3E"/>
    <w:rsid w:val="13A72581"/>
    <w:rsid w:val="14211035"/>
    <w:rsid w:val="1CE203FC"/>
    <w:rsid w:val="1F211FD8"/>
    <w:rsid w:val="2F51070E"/>
    <w:rsid w:val="374A7141"/>
    <w:rsid w:val="43CE7C38"/>
    <w:rsid w:val="60024705"/>
    <w:rsid w:val="621D3BA7"/>
    <w:rsid w:val="636C18B0"/>
    <w:rsid w:val="65242A08"/>
    <w:rsid w:val="70807A11"/>
    <w:rsid w:val="7DF7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FollowedHyperlink"/>
    <w:basedOn w:val="8"/>
    <w:qFormat/>
    <w:uiPriority w:val="0"/>
    <w:rPr>
      <w:color w:val="3C3C3C"/>
      <w:u w:val="none"/>
    </w:rPr>
  </w:style>
  <w:style w:type="character" w:styleId="11">
    <w:name w:val="Emphasis"/>
    <w:basedOn w:val="8"/>
    <w:qFormat/>
    <w:uiPriority w:val="0"/>
    <w:rPr>
      <w:b/>
      <w:bCs/>
    </w:rPr>
  </w:style>
  <w:style w:type="character" w:styleId="12">
    <w:name w:val="HTML Definition"/>
    <w:basedOn w:val="8"/>
    <w:qFormat/>
    <w:uiPriority w:val="0"/>
  </w:style>
  <w:style w:type="character" w:styleId="13">
    <w:name w:val="HTML Variable"/>
    <w:basedOn w:val="8"/>
    <w:qFormat/>
    <w:uiPriority w:val="0"/>
  </w:style>
  <w:style w:type="character" w:styleId="14">
    <w:name w:val="Hyperlink"/>
    <w:basedOn w:val="8"/>
    <w:qFormat/>
    <w:uiPriority w:val="0"/>
    <w:rPr>
      <w:color w:val="3C3C3C"/>
      <w:u w:val="none"/>
    </w:rPr>
  </w:style>
  <w:style w:type="character" w:styleId="15">
    <w:name w:val="HTML Code"/>
    <w:basedOn w:val="8"/>
    <w:qFormat/>
    <w:uiPriority w:val="0"/>
    <w:rPr>
      <w:rFonts w:ascii="Courier New" w:hAnsi="Courier New"/>
      <w:sz w:val="20"/>
    </w:rPr>
  </w:style>
  <w:style w:type="character" w:styleId="16">
    <w:name w:val="HTML Cite"/>
    <w:basedOn w:val="8"/>
    <w:qFormat/>
    <w:uiPriority w:val="0"/>
    <w:rPr>
      <w:sz w:val="21"/>
      <w:szCs w:val="21"/>
      <w:shd w:val="clear" w:color="auto" w:fill="FFFFFF"/>
    </w:rPr>
  </w:style>
  <w:style w:type="character" w:styleId="17">
    <w:name w:val="HTML Keyboard"/>
    <w:basedOn w:val="8"/>
    <w:qFormat/>
    <w:uiPriority w:val="0"/>
    <w:rPr>
      <w:rFonts w:ascii="Courier New" w:hAnsi="Courier New"/>
      <w:sz w:val="20"/>
    </w:rPr>
  </w:style>
  <w:style w:type="character" w:styleId="18">
    <w:name w:val="HTML Sample"/>
    <w:basedOn w:val="8"/>
    <w:qFormat/>
    <w:uiPriority w:val="0"/>
    <w:rPr>
      <w:rFonts w:ascii="Courier New" w:hAnsi="Courier New"/>
    </w:rPr>
  </w:style>
  <w:style w:type="paragraph" w:customStyle="1" w:styleId="1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0">
    <w:name w:val="current"/>
    <w:basedOn w:val="8"/>
    <w:autoRedefine/>
    <w:qFormat/>
    <w:uiPriority w:val="0"/>
    <w:rPr>
      <w:sz w:val="21"/>
      <w:szCs w:val="21"/>
    </w:rPr>
  </w:style>
  <w:style w:type="paragraph" w:customStyle="1" w:styleId="21">
    <w:name w:val="章标题"/>
    <w:next w:val="19"/>
    <w:qFormat/>
    <w:uiPriority w:val="0"/>
    <w:pPr>
      <w:numPr>
        <w:ilvl w:val="0"/>
        <w:numId w:val="1"/>
      </w:numPr>
      <w:spacing w:before="312" w:beforeLines="100" w:after="312" w:afterLines="100"/>
      <w:ind w:left="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302</Words>
  <Characters>1726</Characters>
  <Lines>14</Lines>
  <Paragraphs>4</Paragraphs>
  <TotalTime>10</TotalTime>
  <ScaleCrop>false</ScaleCrop>
  <LinksUpToDate>false</LinksUpToDate>
  <CharactersWithSpaces>2024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3大队</dc:creator>
  <cp:lastModifiedBy>Administrator</cp:lastModifiedBy>
  <cp:lastPrinted>2022-09-23T03:21:00Z</cp:lastPrinted>
  <dcterms:modified xsi:type="dcterms:W3CDTF">2025-03-24T09:18:14Z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88777CC35EA14997BC995D6CA41C7FAC</vt:lpwstr>
  </property>
  <property fmtid="{D5CDD505-2E9C-101B-9397-08002B2CF9AE}" pid="4" name="KSOTemplateDocerSaveRecord">
    <vt:lpwstr>eyJoZGlkIjoiM2Y0MGUyMGZjZjEwZmViMTQ1Nzk2MTlmMTc0OTAwYjcifQ==</vt:lpwstr>
  </property>
</Properties>
</file>